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091" w14:textId="77777777" w:rsidR="003100F2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</w:rPr>
      </w:pPr>
    </w:p>
    <w:p w14:paraId="1478CA5B" w14:textId="77777777" w:rsidR="003100F2" w:rsidRPr="00DE5C9D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78F7CC50" w14:textId="77777777" w:rsidR="003100F2" w:rsidRPr="00DE5C9D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512"/>
        <w:gridCol w:w="4945"/>
        <w:gridCol w:w="2459"/>
      </w:tblGrid>
      <w:tr w:rsidR="003100F2" w:rsidRPr="006E05E8" w14:paraId="4765C8BA" w14:textId="77777777" w:rsidTr="00D242F1">
        <w:trPr>
          <w:trHeight w:val="337"/>
          <w:jc w:val="center"/>
        </w:trPr>
        <w:tc>
          <w:tcPr>
            <w:tcW w:w="10683" w:type="dxa"/>
            <w:gridSpan w:val="4"/>
            <w:shd w:val="clear" w:color="auto" w:fill="FFF2CC"/>
            <w:vAlign w:val="center"/>
          </w:tcPr>
          <w:p w14:paraId="55660F4C" w14:textId="01B967F2" w:rsidR="003100F2" w:rsidRPr="006E05E8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Fluxo de trabalho </w:t>
            </w:r>
            <w:r w:rsidR="008A435D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dos aditivos de prazo</w:t>
            </w:r>
          </w:p>
        </w:tc>
      </w:tr>
      <w:tr w:rsidR="003100F2" w:rsidRPr="006E05E8" w14:paraId="66AB7127" w14:textId="77777777" w:rsidTr="00D242F1">
        <w:trPr>
          <w:cantSplit/>
          <w:trHeight w:val="1134"/>
          <w:jc w:val="center"/>
        </w:trPr>
        <w:tc>
          <w:tcPr>
            <w:tcW w:w="541" w:type="dxa"/>
            <w:shd w:val="clear" w:color="auto" w:fill="FFF2CC"/>
            <w:textDirection w:val="btLr"/>
            <w:vAlign w:val="center"/>
          </w:tcPr>
          <w:p w14:paraId="26D2538D" w14:textId="77777777" w:rsidR="003100F2" w:rsidRPr="006E05E8" w:rsidRDefault="003100F2" w:rsidP="00D242F1">
            <w:pPr>
              <w:pStyle w:val="Default"/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ETAPA</w:t>
            </w:r>
          </w:p>
        </w:tc>
        <w:tc>
          <w:tcPr>
            <w:tcW w:w="2544" w:type="dxa"/>
            <w:shd w:val="clear" w:color="auto" w:fill="FFF2CC"/>
            <w:vAlign w:val="center"/>
          </w:tcPr>
          <w:p w14:paraId="6DDC02BD" w14:textId="77777777" w:rsidR="003100F2" w:rsidRPr="006E05E8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RESPONSÁVEL</w:t>
            </w:r>
          </w:p>
        </w:tc>
        <w:tc>
          <w:tcPr>
            <w:tcW w:w="5103" w:type="dxa"/>
            <w:shd w:val="clear" w:color="auto" w:fill="FFF2CC"/>
            <w:vAlign w:val="center"/>
          </w:tcPr>
          <w:p w14:paraId="2C62078B" w14:textId="77777777" w:rsidR="003100F2" w:rsidRPr="006E05E8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ATRIBUIÇÃO</w:t>
            </w:r>
          </w:p>
        </w:tc>
        <w:tc>
          <w:tcPr>
            <w:tcW w:w="2495" w:type="dxa"/>
            <w:shd w:val="clear" w:color="auto" w:fill="FFF2CC"/>
            <w:vAlign w:val="center"/>
          </w:tcPr>
          <w:p w14:paraId="71754D22" w14:textId="77777777" w:rsidR="008A435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FUNDAMENTO</w:t>
            </w:r>
            <w:r w:rsidR="008A435D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</w:t>
            </w:r>
          </w:p>
          <w:p w14:paraId="47C83524" w14:textId="3C1CF9BA" w:rsidR="003100F2" w:rsidRPr="006E05E8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JURÍDICO</w:t>
            </w:r>
            <w:r w:rsidR="008A435D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</w:t>
            </w:r>
          </w:p>
        </w:tc>
      </w:tr>
      <w:tr w:rsidR="003100F2" w:rsidRPr="005040C6" w14:paraId="421A78FF" w14:textId="77777777" w:rsidTr="00D242F1">
        <w:trPr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5A20E585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01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3B11FEED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SEC. SOLICITANTE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6D9B3F" w14:textId="6A9EF743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Promover abertura de processo junto ao sistema </w:t>
            </w:r>
            <w:r w:rsidR="008A435D">
              <w:rPr>
                <w:rFonts w:ascii="Century Gothic" w:hAnsi="Century Gothic"/>
                <w:color w:val="auto"/>
                <w:sz w:val="22"/>
                <w:szCs w:val="22"/>
              </w:rPr>
              <w:t>GiiG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, 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com juntada dos documentos descritos na lista de verificação como de sua responsabilidade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>e mais aqueles que entender pertinentes ao caso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, em prol de sua atuação como linha de defesa primária e observância do princípio da padronização.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3E98EDC" w14:textId="77777777" w:rsidR="003100F2" w:rsidRPr="005040C6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Art. 169, inciso I, da Lei n° 14.133/2021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; art. 1º e art.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278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, ambos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.</w:t>
            </w:r>
          </w:p>
        </w:tc>
      </w:tr>
      <w:tr w:rsidR="003100F2" w:rsidRPr="005040C6" w14:paraId="096B5504" w14:textId="77777777" w:rsidTr="00D242F1">
        <w:trPr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0CA097C5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07EB1ED6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SEC. MUNICIPAL DA FAZENDA (SMFA)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0AA90B" w14:textId="285C12D0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Informar, </w:t>
            </w: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quando necessário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>, sobre a existência ou não de recursos suficientes para custear o aditivo pretendido, por meio de declaração firmada pelo titular da SMFA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, em prol de sua atuação como linha de defesa </w:t>
            </w:r>
            <w:r w:rsidR="008A435D">
              <w:rPr>
                <w:rFonts w:ascii="Century Gothic" w:hAnsi="Century Gothic"/>
                <w:color w:val="auto"/>
                <w:sz w:val="22"/>
                <w:szCs w:val="22"/>
              </w:rPr>
              <w:t>primária e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observância ao princípio da padronização.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E03F8C4" w14:textId="77777777" w:rsidR="003100F2" w:rsidRPr="005040C6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Art. 169, inciso I, da Lei n° 14.133/2021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; art. 1º e art.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27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9, ambos 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.</w:t>
            </w:r>
          </w:p>
        </w:tc>
      </w:tr>
      <w:tr w:rsidR="003100F2" w:rsidRPr="006E05E8" w14:paraId="1F6F9DE2" w14:textId="77777777" w:rsidTr="00D242F1">
        <w:trPr>
          <w:trHeight w:val="1322"/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75A93DD0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78B539B6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DIRETORIA DE LICITAÇÕES E CONTRATOS (DILC)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7403B6" w14:textId="6AD0A84A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Receber a documentação encaminhada pela origem e como atuação própria da primeira linha de defesa, realizar a conferência da conformidade, 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por meio do preenchimento integral da lista de verificação;</w:t>
            </w:r>
            <w:r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 xml:space="preserve"> elaboração e inserção da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 xml:space="preserve"> minuta de termo aditivo padronizada e encaminha</w:t>
            </w:r>
            <w:r w:rsidR="008A435D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mento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8A435D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d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o feito à PLC caso a instrução documental esteja completa.</w:t>
            </w:r>
            <w:r w:rsidRPr="000E50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Caso esteja incompleta, devolver à origem para adequações.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CBF3C0E" w14:textId="05E7B4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Art. 169, inciso I, da Lei n° 14.133/2021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; art. </w:t>
            </w:r>
            <w:r w:rsidR="008A435D">
              <w:rPr>
                <w:rFonts w:ascii="Century Gothic" w:hAnsi="Century Gothic"/>
                <w:color w:val="auto"/>
                <w:sz w:val="22"/>
                <w:szCs w:val="22"/>
              </w:rPr>
              <w:t xml:space="preserve">1º 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e art.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2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80, ambos 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.</w:t>
            </w:r>
          </w:p>
        </w:tc>
      </w:tr>
      <w:tr w:rsidR="003100F2" w:rsidRPr="005040C6" w14:paraId="41F280AD" w14:textId="77777777" w:rsidTr="00D242F1">
        <w:trPr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1808B4CE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04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210D042D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PROCURADORIA DE LICITAÇÕES E CONTRATOS (PLC)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65F4D0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Emitir parecer acerca da viabilidade jurídica do aditivo pretendido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, a partir do conteúdo da lista de verificação preenchida pela DILC, em prol da padronização e na atuação como linha de defesa secundária.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16D8775" w14:textId="0A66DD21" w:rsidR="003100F2" w:rsidRPr="005040C6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Art. 169, inciso I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I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, da Lei n° 14.133/2021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; art. 1º e art.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 xml:space="preserve"> </w:t>
            </w:r>
            <w:r w:rsidR="008A435D">
              <w:rPr>
                <w:rFonts w:ascii="Century Gothic" w:hAnsi="Century Gothic"/>
                <w:color w:val="auto"/>
                <w:sz w:val="22"/>
                <w:szCs w:val="22"/>
              </w:rPr>
              <w:t>281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, ambos </w:t>
            </w:r>
            <w:r w:rsidRPr="005040C6">
              <w:rPr>
                <w:rFonts w:ascii="Century Gothic" w:hAnsi="Century Gothic"/>
                <w:color w:val="auto"/>
                <w:sz w:val="22"/>
                <w:szCs w:val="22"/>
              </w:rPr>
              <w:t>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.</w:t>
            </w:r>
          </w:p>
        </w:tc>
      </w:tr>
      <w:tr w:rsidR="003100F2" w:rsidRPr="006E05E8" w14:paraId="13F73D57" w14:textId="77777777" w:rsidTr="00D242F1">
        <w:trPr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0F3F3947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078516C3" w14:textId="17EEAD72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ORDENADOR DE </w:t>
            </w:r>
            <w:r w:rsidR="008A435D"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DESPESAS DA</w:t>
            </w: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 SEC. SOLICITANTE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C6F2A3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Após parecer jurídico favorável, 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autorizar a celebração do aditivo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, atuando como linha de defesa primária.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65708BE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>Art. 282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  <w:lang w:val="en-US"/>
              </w:rPr>
              <w:t xml:space="preserve"> 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3100F2" w:rsidRPr="006E05E8" w14:paraId="5CDF3F62" w14:textId="77777777" w:rsidTr="00D242F1">
        <w:trPr>
          <w:jc w:val="center"/>
        </w:trPr>
        <w:tc>
          <w:tcPr>
            <w:tcW w:w="541" w:type="dxa"/>
            <w:shd w:val="clear" w:color="auto" w:fill="FFF2CC"/>
            <w:vAlign w:val="center"/>
          </w:tcPr>
          <w:p w14:paraId="0EF8DDB1" w14:textId="77777777" w:rsidR="003100F2" w:rsidRPr="006E05E8" w:rsidRDefault="003100F2" w:rsidP="00D242F1">
            <w:pPr>
              <w:pStyle w:val="Default"/>
              <w:spacing w:line="276" w:lineRule="auto"/>
              <w:ind w:right="-191" w:hanging="284"/>
              <w:jc w:val="center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06</w:t>
            </w:r>
          </w:p>
        </w:tc>
        <w:tc>
          <w:tcPr>
            <w:tcW w:w="2544" w:type="dxa"/>
            <w:shd w:val="clear" w:color="auto" w:fill="F3F3F3"/>
            <w:vAlign w:val="center"/>
          </w:tcPr>
          <w:p w14:paraId="7C5D93C8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DIRETORIA DE LICITAÇÕES E CONTRATOS (DILC)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FB609C" w14:textId="77777777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Coleta das assinaturas necessárias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no termo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 e </w:t>
            </w:r>
            <w:r w:rsidRPr="007C3149"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u w:val="single"/>
              </w:rPr>
              <w:t>publicação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 dos extratos pertinentes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>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2B60B60" w14:textId="78E38BCC" w:rsidR="003100F2" w:rsidRPr="006E05E8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 xml:space="preserve">Art. </w:t>
            </w:r>
            <w:r w:rsidR="008A435D">
              <w:rPr>
                <w:rFonts w:ascii="Century Gothic" w:hAnsi="Century Gothic"/>
                <w:color w:val="auto"/>
                <w:sz w:val="22"/>
                <w:szCs w:val="22"/>
              </w:rPr>
              <w:t xml:space="preserve">5º e art. 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</w:rPr>
              <w:t>283</w:t>
            </w:r>
            <w:r w:rsidRPr="006E05E8">
              <w:rPr>
                <w:rFonts w:ascii="Century Gothic" w:hAnsi="Century Gothic"/>
                <w:color w:val="auto"/>
                <w:sz w:val="22"/>
                <w:szCs w:val="22"/>
                <w:lang w:val="en-US"/>
              </w:rPr>
              <w:t xml:space="preserve"> do Dec. Mun. n° 32.398/2024</w:t>
            </w:r>
            <w:r>
              <w:rPr>
                <w:rFonts w:ascii="Century Gothic" w:hAnsi="Century Gothic"/>
                <w:color w:val="auto"/>
                <w:sz w:val="22"/>
                <w:szCs w:val="22"/>
                <w:lang w:val="en-US"/>
              </w:rPr>
              <w:t>.</w:t>
            </w:r>
          </w:p>
        </w:tc>
      </w:tr>
    </w:tbl>
    <w:p w14:paraId="7B8F86D0" w14:textId="77777777" w:rsidR="003100F2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  <w:sz w:val="22"/>
          <w:szCs w:val="22"/>
        </w:rPr>
      </w:pPr>
    </w:p>
    <w:p w14:paraId="4C33CF33" w14:textId="77777777" w:rsidR="003100F2" w:rsidRPr="00806F04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  <w:sz w:val="22"/>
          <w:szCs w:val="22"/>
        </w:rPr>
      </w:pPr>
    </w:p>
    <w:p w14:paraId="7AA0B842" w14:textId="77777777" w:rsidR="003100F2" w:rsidRPr="003470DB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  <w:sz w:val="22"/>
          <w:szCs w:val="22"/>
        </w:rPr>
      </w:pPr>
    </w:p>
    <w:p w14:paraId="02C9A8ED" w14:textId="77777777" w:rsidR="003100F2" w:rsidRPr="003470DB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  <w:sz w:val="22"/>
          <w:szCs w:val="22"/>
        </w:rPr>
      </w:pPr>
    </w:p>
    <w:p w14:paraId="0D6243C6" w14:textId="77777777" w:rsidR="003100F2" w:rsidRDefault="003100F2" w:rsidP="003100F2">
      <w:pPr>
        <w:pStyle w:val="Default"/>
        <w:spacing w:line="276" w:lineRule="auto"/>
        <w:ind w:firstLine="709"/>
        <w:jc w:val="both"/>
        <w:rPr>
          <w:rFonts w:ascii="Century Gothic" w:hAnsi="Century Gothic"/>
          <w:color w:val="auto"/>
        </w:rPr>
      </w:pPr>
    </w:p>
    <w:p w14:paraId="0DCEB4D6" w14:textId="77777777" w:rsidR="003100F2" w:rsidRDefault="003100F2" w:rsidP="003100F2">
      <w:pPr>
        <w:pStyle w:val="Default"/>
        <w:spacing w:line="276" w:lineRule="auto"/>
        <w:jc w:val="both"/>
        <w:rPr>
          <w:rFonts w:ascii="Century Gothic" w:hAnsi="Century Gothic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56"/>
        <w:gridCol w:w="3105"/>
        <w:gridCol w:w="1022"/>
        <w:gridCol w:w="1017"/>
        <w:gridCol w:w="1190"/>
      </w:tblGrid>
      <w:tr w:rsidR="003100F2" w:rsidRPr="0014351D" w14:paraId="6110551F" w14:textId="77777777" w:rsidTr="002147E0">
        <w:trPr>
          <w:jc w:val="center"/>
        </w:trPr>
        <w:tc>
          <w:tcPr>
            <w:tcW w:w="10457" w:type="dxa"/>
            <w:gridSpan w:val="6"/>
            <w:shd w:val="clear" w:color="auto" w:fill="EDEDED"/>
            <w:vAlign w:val="center"/>
          </w:tcPr>
          <w:p w14:paraId="4DFC3F2C" w14:textId="77777777" w:rsidR="003100F2" w:rsidRPr="00B03C67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B03C67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  <w:t>LISTA DE VERIFICAÇÃO</w:t>
            </w:r>
          </w:p>
        </w:tc>
      </w:tr>
      <w:tr w:rsidR="003100F2" w:rsidRPr="0014351D" w14:paraId="3BCD951B" w14:textId="77777777" w:rsidTr="001F692F">
        <w:trPr>
          <w:jc w:val="center"/>
        </w:trPr>
        <w:tc>
          <w:tcPr>
            <w:tcW w:w="10457" w:type="dxa"/>
            <w:gridSpan w:val="6"/>
            <w:shd w:val="clear" w:color="auto" w:fill="FFF2CC" w:themeFill="accent4" w:themeFillTint="33"/>
            <w:vAlign w:val="center"/>
          </w:tcPr>
          <w:p w14:paraId="4A9E73CE" w14:textId="77777777" w:rsidR="003100F2" w:rsidRPr="000E583A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0"/>
                <w:szCs w:val="20"/>
              </w:rPr>
            </w:pPr>
            <w:r w:rsidRPr="000E583A">
              <w:rPr>
                <w:rFonts w:ascii="Century Gothic" w:hAnsi="Century Gothic" w:cs="Courier New"/>
                <w:b/>
                <w:bCs/>
                <w:color w:val="auto"/>
                <w:sz w:val="20"/>
                <w:szCs w:val="20"/>
              </w:rPr>
              <w:t>ADITIVOS DE PRORROGAÇÃO DA VIGÊNCIA DE CONTRATOS DE SERVIÇOS E FORNECIMENTO CONTÍNUOS</w:t>
            </w:r>
          </w:p>
        </w:tc>
      </w:tr>
      <w:tr w:rsidR="003100F2" w:rsidRPr="0014351D" w14:paraId="572DD16F" w14:textId="77777777" w:rsidTr="002147E0">
        <w:trPr>
          <w:jc w:val="center"/>
        </w:trPr>
        <w:tc>
          <w:tcPr>
            <w:tcW w:w="10457" w:type="dxa"/>
            <w:gridSpan w:val="6"/>
            <w:shd w:val="clear" w:color="auto" w:fill="D9E2F3"/>
            <w:vAlign w:val="center"/>
          </w:tcPr>
          <w:p w14:paraId="58DDFC88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DE RESPONSABILIDADE DA SEC. SOLICITANTE – DOCUMENTOS GERAIS</w:t>
            </w:r>
          </w:p>
        </w:tc>
      </w:tr>
      <w:tr w:rsidR="003100F2" w:rsidRPr="0014351D" w14:paraId="3801D41E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3C87BF9" w14:textId="77777777" w:rsidR="003100F2" w:rsidRPr="0014351D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56" w:type="dxa"/>
            <w:shd w:val="clear" w:color="auto" w:fill="EDEDED"/>
            <w:vAlign w:val="center"/>
          </w:tcPr>
          <w:p w14:paraId="0D48C179" w14:textId="77777777" w:rsidR="003100F2" w:rsidRPr="0014351D" w:rsidRDefault="003100F2" w:rsidP="00D242F1">
            <w:pPr>
              <w:jc w:val="center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3105" w:type="dxa"/>
            <w:shd w:val="clear" w:color="auto" w:fill="EDEDED"/>
            <w:vAlign w:val="center"/>
          </w:tcPr>
          <w:p w14:paraId="3B32F368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FUNDAMENTO JURÍDICO</w:t>
            </w:r>
          </w:p>
        </w:tc>
        <w:tc>
          <w:tcPr>
            <w:tcW w:w="1022" w:type="dxa"/>
            <w:shd w:val="clear" w:color="auto" w:fill="EDEDED"/>
            <w:vAlign w:val="center"/>
          </w:tcPr>
          <w:p w14:paraId="2CB0BC51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ATENDE</w:t>
            </w:r>
          </w:p>
        </w:tc>
        <w:tc>
          <w:tcPr>
            <w:tcW w:w="1017" w:type="dxa"/>
            <w:shd w:val="clear" w:color="auto" w:fill="EDEDED"/>
            <w:vAlign w:val="center"/>
          </w:tcPr>
          <w:p w14:paraId="1335399C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ATENDE</w:t>
            </w:r>
          </w:p>
        </w:tc>
        <w:tc>
          <w:tcPr>
            <w:tcW w:w="1190" w:type="dxa"/>
            <w:shd w:val="clear" w:color="auto" w:fill="EDEDED"/>
            <w:vAlign w:val="center"/>
          </w:tcPr>
          <w:p w14:paraId="7BEFC267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SE APLICA</w:t>
            </w:r>
          </w:p>
        </w:tc>
      </w:tr>
      <w:tr w:rsidR="003100F2" w:rsidRPr="0014351D" w14:paraId="1132D4CB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39334F8D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0D185B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07FA719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O aditivo adotou a forma de processamento eletrônica;</w:t>
            </w:r>
          </w:p>
        </w:tc>
        <w:tc>
          <w:tcPr>
            <w:tcW w:w="3105" w:type="dxa"/>
            <w:vAlign w:val="center"/>
          </w:tcPr>
          <w:p w14:paraId="3C3A1983" w14:textId="77777777" w:rsidR="003100F2" w:rsidRPr="000E509F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0E509F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91, §3º, da Lei n° 14.133/2021 e art. 269, </w:t>
            </w:r>
            <w:r w:rsidRPr="000E509F"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>caput,</w:t>
            </w:r>
            <w:r w:rsidRPr="000E509F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0E509F">
              <w:rPr>
                <w:rFonts w:ascii="Century Gothic" w:hAnsi="Century Gothic" w:cs="Courier New"/>
                <w:sz w:val="22"/>
                <w:szCs w:val="22"/>
              </w:rPr>
              <w:t xml:space="preserve">do </w:t>
            </w:r>
            <w:r w:rsidRPr="000E509F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F18F9C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D1F0A86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AE368A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414853A0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661A2877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0D185B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48F4A54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Justificativa de sigilo ao aditivo, se houver imprescindibilidade à segurança da sociedade e do Estado, nos termos da legislação que regula o acesso à informação;</w:t>
            </w:r>
          </w:p>
        </w:tc>
        <w:tc>
          <w:tcPr>
            <w:tcW w:w="3105" w:type="dxa"/>
            <w:vAlign w:val="center"/>
          </w:tcPr>
          <w:p w14:paraId="58233DF9" w14:textId="064D3A27" w:rsidR="003100F2" w:rsidRPr="000E509F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0E509F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91, §1º,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</w:t>
            </w:r>
            <w:r>
              <w:rPr>
                <w:rFonts w:ascii="Century Gothic" w:hAnsi="Century Gothic" w:cs="Courier New"/>
                <w:sz w:val="22"/>
                <w:szCs w:val="22"/>
              </w:rPr>
              <w:t>a Lei n° 14.133/2021</w:t>
            </w:r>
            <w:r w:rsidR="009466C4">
              <w:rPr>
                <w:rFonts w:ascii="Century Gothic" w:hAnsi="Century Gothic" w:cs="Courier New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0D61E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B71E310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B20B83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450D6221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0EBCF0B4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0D185B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16AD920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Previsão no instrumento convocatório e no contrato firmado de possibilidade de prorrogação;</w:t>
            </w:r>
          </w:p>
        </w:tc>
        <w:tc>
          <w:tcPr>
            <w:tcW w:w="3105" w:type="dxa"/>
            <w:vAlign w:val="center"/>
          </w:tcPr>
          <w:p w14:paraId="7B1848C9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107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>da Lei n° 14.133/2021 e art. 285, I,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DAD2EA5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7E35D6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8836D85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</w:tr>
      <w:tr w:rsidR="003100F2" w:rsidRPr="0014351D" w14:paraId="70D045D6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2D7A6B86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0D185B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C7BBDDC" w14:textId="189E200B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Atestar que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 xml:space="preserve"> o contrato está vigente e que o pedido de prorrogação respeita a vigência máxima </w:t>
            </w:r>
            <w:r w:rsidR="00A95EED">
              <w:rPr>
                <w:rFonts w:ascii="Century Gothic" w:hAnsi="Century Gothic" w:cs="Courier New"/>
                <w:sz w:val="22"/>
                <w:szCs w:val="22"/>
              </w:rPr>
              <w:t>decenal;</w:t>
            </w:r>
          </w:p>
        </w:tc>
        <w:tc>
          <w:tcPr>
            <w:tcW w:w="3105" w:type="dxa"/>
            <w:vAlign w:val="center"/>
          </w:tcPr>
          <w:p w14:paraId="422F7404" w14:textId="77777777" w:rsidR="003100F2" w:rsidRPr="00CC4835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107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A95EED">
              <w:rPr>
                <w:rFonts w:ascii="Century Gothic" w:hAnsi="Century Gothic" w:cs="Courier New"/>
                <w:color w:val="auto"/>
                <w:sz w:val="22"/>
                <w:szCs w:val="22"/>
              </w:rPr>
              <w:t>da</w:t>
            </w:r>
            <w:r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Lei n° 14.133/2021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82A827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79ACD1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2E7C72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3C403F" w14:paraId="05AB0541" w14:textId="77777777" w:rsidTr="001F692F">
        <w:trPr>
          <w:jc w:val="center"/>
        </w:trPr>
        <w:tc>
          <w:tcPr>
            <w:tcW w:w="467" w:type="dxa"/>
            <w:shd w:val="clear" w:color="auto" w:fill="FFF2CC" w:themeFill="accent4" w:themeFillTint="33"/>
            <w:vAlign w:val="center"/>
          </w:tcPr>
          <w:p w14:paraId="011409B3" w14:textId="77777777" w:rsidR="003100F2" w:rsidRPr="00D94B44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656" w:type="dxa"/>
            <w:shd w:val="clear" w:color="auto" w:fill="F2F2F2"/>
            <w:vAlign w:val="center"/>
          </w:tcPr>
          <w:p w14:paraId="78C4BB51" w14:textId="77777777" w:rsidR="003100F2" w:rsidRPr="00800DE6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  <w:t>ESPECIFICIDADE DE VIGÊNCIA A</w:t>
            </w:r>
          </w:p>
          <w:p w14:paraId="2E530179" w14:textId="10FA3140" w:rsidR="003100F2" w:rsidRPr="00800DE6" w:rsidRDefault="003100F2" w:rsidP="00D242F1">
            <w:pPr>
              <w:jc w:val="both"/>
              <w:rPr>
                <w:rFonts w:ascii="Century Gothic" w:hAnsi="Century Gothic" w:cs="Courier New"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sz w:val="21"/>
                <w:szCs w:val="21"/>
              </w:rPr>
              <w:t>Contrato em que a Administração Pública seja usuária de serviço público oferecido em Monopólio, desde que comprada a existência de créditos orçamentários ano a ano, poderá ter prazo de vigência indeterminado</w:t>
            </w:r>
            <w:r w:rsidR="00A95EED" w:rsidRPr="00800DE6">
              <w:rPr>
                <w:rFonts w:ascii="Century Gothic" w:hAnsi="Century Gothic" w:cs="Courier New"/>
                <w:sz w:val="21"/>
                <w:szCs w:val="21"/>
              </w:rPr>
              <w:t>;</w:t>
            </w:r>
          </w:p>
        </w:tc>
        <w:tc>
          <w:tcPr>
            <w:tcW w:w="3105" w:type="dxa"/>
            <w:shd w:val="clear" w:color="auto" w:fill="F2F2F2"/>
            <w:vAlign w:val="center"/>
          </w:tcPr>
          <w:p w14:paraId="416C4551" w14:textId="77777777" w:rsidR="003100F2" w:rsidRPr="00D94B4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109 da Lei n° 14.133/2021.</w:t>
            </w:r>
          </w:p>
        </w:tc>
        <w:tc>
          <w:tcPr>
            <w:tcW w:w="1022" w:type="dxa"/>
            <w:shd w:val="clear" w:color="auto" w:fill="F2F2F2"/>
            <w:vAlign w:val="center"/>
          </w:tcPr>
          <w:p w14:paraId="71ABFD67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14:paraId="6E255579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/>
            <w:vAlign w:val="center"/>
          </w:tcPr>
          <w:p w14:paraId="294CE2F1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3100F2" w:rsidRPr="00DF5766" w14:paraId="1247A912" w14:textId="77777777" w:rsidTr="001F692F">
        <w:trPr>
          <w:jc w:val="center"/>
        </w:trPr>
        <w:tc>
          <w:tcPr>
            <w:tcW w:w="467" w:type="dxa"/>
            <w:shd w:val="clear" w:color="auto" w:fill="FFF2CC" w:themeFill="accent4" w:themeFillTint="33"/>
            <w:vAlign w:val="center"/>
          </w:tcPr>
          <w:p w14:paraId="0CF54FF4" w14:textId="77777777" w:rsidR="003100F2" w:rsidRPr="00D94B44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656" w:type="dxa"/>
            <w:shd w:val="clear" w:color="auto" w:fill="F2F2F2"/>
            <w:vAlign w:val="center"/>
          </w:tcPr>
          <w:p w14:paraId="3A09061A" w14:textId="77777777" w:rsidR="003100F2" w:rsidRPr="00800DE6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  <w:t>ESPECIFICIDADE DE VIGÊNCIA B</w:t>
            </w:r>
          </w:p>
          <w:p w14:paraId="073BF1B5" w14:textId="69401BB2" w:rsidR="003100F2" w:rsidRPr="00800DE6" w:rsidRDefault="003100F2" w:rsidP="00D242F1">
            <w:pPr>
              <w:jc w:val="both"/>
              <w:rPr>
                <w:rFonts w:ascii="Century Gothic" w:hAnsi="Century Gothic" w:cs="Courier New"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sz w:val="21"/>
                <w:szCs w:val="21"/>
              </w:rPr>
              <w:t>Contrato que gere receita e no contrato de eficiência que gere economia para a administração, os prazos de vigência poderão ser de até 10 (dez) anos para contratos sem investimento ou até 35 (trinta e cinco) anos, em contratos com investimentos, isto é, que impliquem em benfeitorias permanentes, realizadas exclusivamente a expensas do contrato, que serão revertidas ao patrimônio da Administração ao término do Contrato</w:t>
            </w:r>
            <w:r w:rsidR="00A95EED" w:rsidRPr="00800DE6">
              <w:rPr>
                <w:rFonts w:ascii="Century Gothic" w:hAnsi="Century Gothic" w:cs="Courier New"/>
                <w:sz w:val="21"/>
                <w:szCs w:val="21"/>
              </w:rPr>
              <w:t>;</w:t>
            </w:r>
          </w:p>
        </w:tc>
        <w:tc>
          <w:tcPr>
            <w:tcW w:w="3105" w:type="dxa"/>
            <w:shd w:val="clear" w:color="auto" w:fill="F2F2F2"/>
            <w:vAlign w:val="center"/>
          </w:tcPr>
          <w:p w14:paraId="21B47390" w14:textId="0B8BE5C3" w:rsidR="003100F2" w:rsidRPr="00D94B4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110</w:t>
            </w:r>
            <w:r w:rsidR="00A95EE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</w:t>
            </w:r>
            <w:r w:rsidR="00A95EED"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>caput,</w:t>
            </w:r>
            <w:r w:rsidRPr="00D94B44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da Lei n° 14.133/2021.</w:t>
            </w:r>
          </w:p>
        </w:tc>
        <w:tc>
          <w:tcPr>
            <w:tcW w:w="1022" w:type="dxa"/>
            <w:shd w:val="clear" w:color="auto" w:fill="F2F2F2"/>
            <w:vAlign w:val="center"/>
          </w:tcPr>
          <w:p w14:paraId="22C227BE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14:paraId="0D7B61FE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/>
            <w:vAlign w:val="center"/>
          </w:tcPr>
          <w:p w14:paraId="516B0911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3100F2" w:rsidRPr="00DF5766" w14:paraId="4DF0154A" w14:textId="77777777" w:rsidTr="001F692F">
        <w:trPr>
          <w:jc w:val="center"/>
        </w:trPr>
        <w:tc>
          <w:tcPr>
            <w:tcW w:w="467" w:type="dxa"/>
            <w:shd w:val="clear" w:color="auto" w:fill="FFF2CC" w:themeFill="accent4" w:themeFillTint="33"/>
            <w:vAlign w:val="center"/>
          </w:tcPr>
          <w:p w14:paraId="622DCD7C" w14:textId="77777777" w:rsidR="003100F2" w:rsidRPr="00D94B44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656" w:type="dxa"/>
            <w:shd w:val="clear" w:color="auto" w:fill="F2F2F2"/>
            <w:vAlign w:val="center"/>
          </w:tcPr>
          <w:p w14:paraId="123105DC" w14:textId="77777777" w:rsidR="003100F2" w:rsidRPr="00800DE6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  <w:t>ESPECIFICIDADE DE VIGÊNCIA C</w:t>
            </w:r>
          </w:p>
          <w:p w14:paraId="7DBA8D67" w14:textId="5B736563" w:rsidR="003100F2" w:rsidRPr="00800DE6" w:rsidRDefault="003100F2" w:rsidP="00D242F1">
            <w:pPr>
              <w:jc w:val="both"/>
              <w:rPr>
                <w:rFonts w:ascii="Century Gothic" w:hAnsi="Century Gothic" w:cs="Courier New"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sz w:val="21"/>
                <w:szCs w:val="21"/>
              </w:rPr>
              <w:t xml:space="preserve">Contrato firmado sob o regime de fornecimento e prestação de serviço associado terá sua vigência máxima definida pela soma do prazo relativo ao fornecimento inicial ou à entrega da obra com o prazo relativo ao serviço de operação e </w:t>
            </w:r>
            <w:r w:rsidRPr="00800DE6">
              <w:rPr>
                <w:rFonts w:ascii="Century Gothic" w:hAnsi="Century Gothic" w:cs="Courier New"/>
                <w:sz w:val="21"/>
                <w:szCs w:val="21"/>
              </w:rPr>
              <w:lastRenderedPageBreak/>
              <w:t>manutenção, este limitado a 5 (cinco) anos contados da data de recebimento do objeto inicial</w:t>
            </w:r>
            <w:r w:rsidR="00A95EED" w:rsidRPr="00800DE6">
              <w:rPr>
                <w:rFonts w:ascii="Century Gothic" w:hAnsi="Century Gothic" w:cs="Courier New"/>
                <w:sz w:val="21"/>
                <w:szCs w:val="21"/>
              </w:rPr>
              <w:t>;</w:t>
            </w:r>
          </w:p>
        </w:tc>
        <w:tc>
          <w:tcPr>
            <w:tcW w:w="3105" w:type="dxa"/>
            <w:shd w:val="clear" w:color="auto" w:fill="F2F2F2"/>
            <w:vAlign w:val="center"/>
          </w:tcPr>
          <w:p w14:paraId="78CFA95E" w14:textId="32C5B046" w:rsidR="003100F2" w:rsidRPr="00D94B4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color w:val="auto"/>
                <w:sz w:val="22"/>
                <w:szCs w:val="22"/>
              </w:rPr>
              <w:lastRenderedPageBreak/>
              <w:t>Art. 113 da Lei n° 14.133/2021</w:t>
            </w:r>
            <w:r w:rsidR="009466C4"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F2F2F2"/>
            <w:vAlign w:val="center"/>
          </w:tcPr>
          <w:p w14:paraId="51A16C37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14:paraId="38C15791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/>
            <w:vAlign w:val="center"/>
          </w:tcPr>
          <w:p w14:paraId="6C492A7E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3100F2" w:rsidRPr="00DF5766" w14:paraId="7C461132" w14:textId="77777777" w:rsidTr="001F692F">
        <w:trPr>
          <w:jc w:val="center"/>
        </w:trPr>
        <w:tc>
          <w:tcPr>
            <w:tcW w:w="467" w:type="dxa"/>
            <w:shd w:val="clear" w:color="auto" w:fill="FFF2CC" w:themeFill="accent4" w:themeFillTint="33"/>
            <w:vAlign w:val="center"/>
          </w:tcPr>
          <w:p w14:paraId="0E6D98EB" w14:textId="77777777" w:rsidR="003100F2" w:rsidRPr="00D94B44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656" w:type="dxa"/>
            <w:shd w:val="clear" w:color="auto" w:fill="F2F2F2"/>
            <w:vAlign w:val="center"/>
          </w:tcPr>
          <w:p w14:paraId="1D902B77" w14:textId="77777777" w:rsidR="003100F2" w:rsidRPr="00800DE6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b/>
                <w:bCs/>
                <w:i/>
                <w:iCs/>
                <w:sz w:val="21"/>
                <w:szCs w:val="21"/>
              </w:rPr>
              <w:t>ESPECIFICIDADE DE VIGÊNCIA D</w:t>
            </w:r>
          </w:p>
          <w:p w14:paraId="3EE041A2" w14:textId="75056C1D" w:rsidR="003100F2" w:rsidRPr="00800DE6" w:rsidRDefault="003100F2" w:rsidP="00D242F1">
            <w:pPr>
              <w:jc w:val="both"/>
              <w:rPr>
                <w:rFonts w:ascii="Century Gothic" w:hAnsi="Century Gothic" w:cs="Courier New"/>
                <w:sz w:val="21"/>
                <w:szCs w:val="21"/>
              </w:rPr>
            </w:pPr>
            <w:r w:rsidRPr="00800DE6">
              <w:rPr>
                <w:rFonts w:ascii="Century Gothic" w:hAnsi="Century Gothic" w:cs="Courier New"/>
                <w:sz w:val="21"/>
                <w:szCs w:val="21"/>
              </w:rPr>
              <w:t>Contrato que previr operação continuada de sistemas estruturantes de tecnologia da informação poderá ter vigência máxima de 15 (quinze) anos</w:t>
            </w:r>
            <w:r w:rsidR="00A95EED" w:rsidRPr="00800DE6">
              <w:rPr>
                <w:rFonts w:ascii="Century Gothic" w:hAnsi="Century Gothic" w:cs="Courier New"/>
                <w:sz w:val="21"/>
                <w:szCs w:val="21"/>
              </w:rPr>
              <w:t>;</w:t>
            </w:r>
          </w:p>
        </w:tc>
        <w:tc>
          <w:tcPr>
            <w:tcW w:w="3105" w:type="dxa"/>
            <w:shd w:val="clear" w:color="auto" w:fill="F2F2F2"/>
            <w:vAlign w:val="center"/>
          </w:tcPr>
          <w:p w14:paraId="3C42AFAE" w14:textId="65083103" w:rsidR="003100F2" w:rsidRPr="00D94B4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114 da Lei n° 14.133/2021</w:t>
            </w:r>
            <w:r w:rsidR="009466C4"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F2F2F2"/>
            <w:vAlign w:val="center"/>
          </w:tcPr>
          <w:p w14:paraId="655A7928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2F2F2"/>
            <w:vAlign w:val="center"/>
          </w:tcPr>
          <w:p w14:paraId="5AE6D04B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/>
            <w:vAlign w:val="center"/>
          </w:tcPr>
          <w:p w14:paraId="63D1A223" w14:textId="77777777" w:rsidR="003100F2" w:rsidRPr="00D94B4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18"/>
                <w:szCs w:val="1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3100F2" w:rsidRPr="0014351D" w14:paraId="61910DEA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270EAE5E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94401B8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Termo de motivação, consistente em justificativa que deverá retratar a necessidade fática e justificativa legal e contratual da prorrogação;</w:t>
            </w:r>
          </w:p>
        </w:tc>
        <w:tc>
          <w:tcPr>
            <w:tcW w:w="3105" w:type="dxa"/>
            <w:vAlign w:val="center"/>
          </w:tcPr>
          <w:p w14:paraId="4102EB2D" w14:textId="77777777" w:rsidR="003100F2" w:rsidRPr="00CC4835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277, I,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04F697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74BF24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6D5C26F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49C72F91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4CFB1F0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EE9F530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Cópia do contrato original e último termo aditivo, se houver;</w:t>
            </w:r>
          </w:p>
        </w:tc>
        <w:tc>
          <w:tcPr>
            <w:tcW w:w="3105" w:type="dxa"/>
            <w:vAlign w:val="center"/>
          </w:tcPr>
          <w:p w14:paraId="70702AB2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</w:pPr>
            <w:bookmarkStart w:id="0" w:name="artigo_277"/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Art. 277</w:t>
            </w:r>
            <w:bookmarkEnd w:id="0"/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, II,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A22DD09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6866B2D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DCA6D13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7C46C224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7978BA52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790C42A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Manifestação do ordenador de despesas, com demonstração de compatibilidade da previsão de recursos orçamentários com o compromisso a ser assumido;</w:t>
            </w:r>
          </w:p>
        </w:tc>
        <w:tc>
          <w:tcPr>
            <w:tcW w:w="3105" w:type="dxa"/>
            <w:vAlign w:val="center"/>
          </w:tcPr>
          <w:p w14:paraId="77C25A25" w14:textId="77777777" w:rsidR="003100F2" w:rsidRPr="00CC4835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5, art. 10</w:t>
            </w: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6,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II e art. 150 </w:t>
            </w: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da Lei n° 14.133/2021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rt. 277, III, 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0923F1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7B4C0F9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C5BE400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73E01A1B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4192DFBB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A9DDE21" w14:textId="0D632FEB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 xml:space="preserve">Manifestação do gestor e do fiscal do contrato acerca da prorrogação; com </w:t>
            </w:r>
            <w:r w:rsidR="00A95EED">
              <w:rPr>
                <w:rFonts w:ascii="Century Gothic" w:hAnsi="Century Gothic" w:cs="Courier New"/>
                <w:sz w:val="22"/>
                <w:szCs w:val="22"/>
              </w:rPr>
              <w:t xml:space="preserve">relatório 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de que as condições técnicas e os preços praticados permanecem vantajosos à administração;</w:t>
            </w:r>
          </w:p>
        </w:tc>
        <w:tc>
          <w:tcPr>
            <w:tcW w:w="3105" w:type="dxa"/>
            <w:vAlign w:val="center"/>
          </w:tcPr>
          <w:p w14:paraId="555F5F9E" w14:textId="77777777" w:rsidR="003100F2" w:rsidRPr="001972A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107 e a</w:t>
            </w:r>
            <w:r w:rsidRPr="001972A4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rt. 171, II,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ambos </w:t>
            </w:r>
            <w:r w:rsidRPr="001972A4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da Lei n° 14.133/2021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1972A4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277, III,</w:t>
            </w:r>
            <w:r w:rsidRPr="001972A4">
              <w:rPr>
                <w:rFonts w:ascii="Century Gothic" w:hAnsi="Century Gothic" w:cs="Courier New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e art. 285,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IV e §4º,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6E4231D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923ECE6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243F37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1746C0F4" w14:textId="77777777" w:rsidTr="002147E0">
        <w:trPr>
          <w:trHeight w:val="64"/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77568401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D13007D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Manifestação de concordância, isto é, aceite da Contratada;</w:t>
            </w:r>
          </w:p>
        </w:tc>
        <w:tc>
          <w:tcPr>
            <w:tcW w:w="3105" w:type="dxa"/>
            <w:vAlign w:val="center"/>
          </w:tcPr>
          <w:p w14:paraId="6D06AB6D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Art. 277, V,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EB63A4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85A6BE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FEAA19C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1B37588D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0651E0B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ECFBCFA" w14:textId="77777777" w:rsidR="00800DE6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Pesquisa de preço</w:t>
            </w:r>
            <w:r>
              <w:rPr>
                <w:rFonts w:ascii="Century Gothic" w:hAnsi="Century Gothic" w:cs="Courier New"/>
                <w:sz w:val="22"/>
                <w:szCs w:val="22"/>
              </w:rPr>
              <w:t>/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levantamento de mercado que demonstre a vantajosidade da prorrogação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 </w:t>
            </w:r>
            <w:r w:rsidRPr="00A95EED">
              <w:rPr>
                <w:rFonts w:ascii="Century Gothic" w:hAnsi="Century Gothic" w:cs="Courier New"/>
                <w:b/>
                <w:bCs/>
                <w:sz w:val="22"/>
                <w:szCs w:val="22"/>
                <w:u w:val="single"/>
              </w:rPr>
              <w:t>por item</w:t>
            </w:r>
            <w:r w:rsidR="00A95EED">
              <w:rPr>
                <w:rFonts w:ascii="Century Gothic" w:hAnsi="Century Gothic" w:cs="Courier New"/>
                <w:b/>
                <w:bCs/>
                <w:sz w:val="22"/>
                <w:szCs w:val="22"/>
                <w:u w:val="single"/>
              </w:rPr>
              <w:t xml:space="preserve"> ou itens de custo</w:t>
            </w:r>
            <w:r w:rsidRPr="00DD2DC1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;</w:t>
            </w:r>
            <w:r w:rsidR="00800DE6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 xml:space="preserve"> </w:t>
            </w:r>
          </w:p>
          <w:p w14:paraId="52EF8236" w14:textId="77777777" w:rsidR="00800DE6" w:rsidRDefault="00800DE6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</w:p>
          <w:p w14:paraId="123E57D4" w14:textId="7291802F" w:rsidR="00800DE6" w:rsidRPr="00800DE6" w:rsidRDefault="00800DE6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 xml:space="preserve">**Quando utilizado o critério de julgamento de maior desconto na licitação, </w:t>
            </w:r>
            <w:r w:rsidRPr="00EC1C20">
              <w:rPr>
                <w:rFonts w:ascii="Century Gothic" w:hAnsi="Century Gothic" w:cs="Courier New"/>
                <w:sz w:val="22"/>
                <w:szCs w:val="22"/>
              </w:rPr>
              <w:t>o desconto deverá ser estendido ao termo aditivo</w:t>
            </w:r>
            <w:r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7CBC0C98" w14:textId="0F55C8E9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107</w:t>
            </w:r>
            <w:r w:rsidR="00A95EE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A95EED">
              <w:rPr>
                <w:rFonts w:ascii="Century Gothic" w:hAnsi="Century Gothic" w:cs="Courier New"/>
                <w:color w:val="auto"/>
                <w:sz w:val="22"/>
                <w:szCs w:val="22"/>
              </w:rPr>
              <w:t>da</w:t>
            </w:r>
            <w:r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Lei n° 14.133/2021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e art. </w:t>
            </w:r>
            <w:r w:rsidR="00800DE6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176, </w:t>
            </w:r>
            <w:r w:rsidR="00800DE6"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 xml:space="preserve">caput,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285, </w:t>
            </w:r>
            <w:r w:rsidRPr="00DD2DC1">
              <w:rPr>
                <w:rFonts w:ascii="Century Gothic" w:hAnsi="Century Gothic" w:cs="Courier New"/>
                <w:color w:val="auto"/>
                <w:sz w:val="22"/>
                <w:szCs w:val="22"/>
              </w:rPr>
              <w:t>§ 3º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, do Dec. Mun. n° 32.398/2024</w:t>
            </w:r>
            <w:r w:rsidR="009466C4"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  <w:r w:rsidR="00800DE6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53C2658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F97D302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E86FA25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</w:tr>
      <w:tr w:rsidR="003100F2" w:rsidRPr="0014351D" w14:paraId="75CB9852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354CDD7C" w14:textId="77777777" w:rsidR="003100F2" w:rsidRPr="000D185B" w:rsidRDefault="003100F2" w:rsidP="00D242F1">
            <w:pPr>
              <w:jc w:val="both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C71BB22" w14:textId="48365F5F" w:rsidR="00800DE6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sz w:val="22"/>
                <w:szCs w:val="22"/>
              </w:rPr>
              <w:t xml:space="preserve">Caso não haja pesquisa de preços, demonstrar que </w:t>
            </w:r>
            <w:r w:rsidRPr="00DD2DC1">
              <w:rPr>
                <w:rFonts w:ascii="Century Gothic" w:hAnsi="Century Gothic" w:cs="Courier New"/>
                <w:b/>
                <w:bCs/>
                <w:sz w:val="22"/>
                <w:szCs w:val="22"/>
                <w:u w:val="single"/>
              </w:rPr>
              <w:t>há</w:t>
            </w:r>
            <w:r w:rsidRPr="00D94B44">
              <w:rPr>
                <w:rFonts w:ascii="Century Gothic" w:hAnsi="Century Gothic" w:cs="Courier New"/>
                <w:sz w:val="22"/>
                <w:szCs w:val="22"/>
              </w:rPr>
              <w:t xml:space="preserve"> previsão contratual de que as repactuações envolvendo a folha de salários serão efetuadas com base em convenção, acordo coletivo, sentença normativa ou lei</w:t>
            </w:r>
            <w:r w:rsidR="00A95EED">
              <w:rPr>
                <w:rFonts w:ascii="Century Gothic" w:hAnsi="Century Gothic" w:cs="Courier New"/>
                <w:sz w:val="22"/>
                <w:szCs w:val="22"/>
              </w:rPr>
              <w:t>, def. em contrato</w:t>
            </w:r>
            <w:r w:rsidRPr="00D94B44">
              <w:rPr>
                <w:rFonts w:ascii="Century Gothic" w:hAnsi="Century Gothic" w:cs="Courier New"/>
                <w:sz w:val="22"/>
                <w:szCs w:val="22"/>
              </w:rPr>
              <w:t xml:space="preserve">; </w:t>
            </w:r>
            <w:r w:rsidRPr="00D94B44">
              <w:rPr>
                <w:rFonts w:ascii="Century Gothic" w:hAnsi="Century Gothic" w:cs="Courier New"/>
                <w:b/>
                <w:bCs/>
                <w:sz w:val="22"/>
                <w:szCs w:val="22"/>
                <w:u w:val="single"/>
              </w:rPr>
              <w:t>ou</w:t>
            </w:r>
            <w:r w:rsidRPr="00D94B44">
              <w:rPr>
                <w:rFonts w:ascii="Century Gothic" w:hAnsi="Century Gothic" w:cs="Courier New"/>
                <w:sz w:val="22"/>
                <w:szCs w:val="22"/>
              </w:rPr>
              <w:t xml:space="preserve"> </w:t>
            </w:r>
          </w:p>
          <w:p w14:paraId="40FEAB93" w14:textId="77777777" w:rsidR="00800DE6" w:rsidRDefault="00800DE6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</w:p>
          <w:p w14:paraId="60D9A3BA" w14:textId="6225035B" w:rsidR="003100F2" w:rsidRPr="00D94B44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D94B44">
              <w:rPr>
                <w:rFonts w:ascii="Century Gothic" w:hAnsi="Century Gothic" w:cs="Courier New"/>
                <w:sz w:val="22"/>
                <w:szCs w:val="22"/>
              </w:rPr>
              <w:t>previsão contratual de que os reajustes dos itens envolvendo insumos, materiais e equipamentos serão efetuados com base em índices oficiais def. em contrato;</w:t>
            </w:r>
          </w:p>
        </w:tc>
        <w:tc>
          <w:tcPr>
            <w:tcW w:w="3105" w:type="dxa"/>
            <w:vAlign w:val="center"/>
          </w:tcPr>
          <w:p w14:paraId="186B13EE" w14:textId="4E4B5B37" w:rsidR="003100F2" w:rsidRPr="0093429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934294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285, </w:t>
            </w:r>
            <w:r w:rsidRPr="00934294">
              <w:rPr>
                <w:rFonts w:ascii="Century Gothic" w:hAnsi="Century Gothic" w:cs="Courier New"/>
                <w:sz w:val="22"/>
                <w:szCs w:val="22"/>
              </w:rPr>
              <w:t>§</w:t>
            </w:r>
            <w:r w:rsidR="00A95EED" w:rsidRPr="00934294">
              <w:rPr>
                <w:rFonts w:ascii="Century Gothic" w:hAnsi="Century Gothic" w:cs="Courier New"/>
                <w:sz w:val="22"/>
                <w:szCs w:val="22"/>
              </w:rPr>
              <w:t>§</w:t>
            </w:r>
            <w:r w:rsidRPr="00934294">
              <w:rPr>
                <w:rFonts w:ascii="Century Gothic" w:hAnsi="Century Gothic" w:cs="Courier New"/>
                <w:sz w:val="22"/>
                <w:szCs w:val="22"/>
              </w:rPr>
              <w:t>1</w:t>
            </w:r>
            <w:r w:rsidR="00A95EED">
              <w:rPr>
                <w:rFonts w:ascii="Century Gothic" w:hAnsi="Century Gothic" w:cs="Courier New"/>
                <w:sz w:val="22"/>
                <w:szCs w:val="22"/>
              </w:rPr>
              <w:t xml:space="preserve">º </w:t>
            </w:r>
            <w:r w:rsidRPr="00934294">
              <w:rPr>
                <w:rFonts w:ascii="Century Gothic" w:hAnsi="Century Gothic" w:cs="Courier New"/>
                <w:sz w:val="22"/>
                <w:szCs w:val="22"/>
              </w:rPr>
              <w:t>e 2°,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EE84084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FFE47E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09ED75C4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68929BB6" w14:textId="77777777" w:rsidTr="002147E0">
        <w:trPr>
          <w:jc w:val="center"/>
        </w:trPr>
        <w:tc>
          <w:tcPr>
            <w:tcW w:w="10457" w:type="dxa"/>
            <w:gridSpan w:val="6"/>
            <w:shd w:val="clear" w:color="auto" w:fill="C5E0B3"/>
            <w:vAlign w:val="center"/>
          </w:tcPr>
          <w:p w14:paraId="1E9F83DE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lastRenderedPageBreak/>
              <w:t>DE RESPONSABILIDADE DA SEC. SOLICITANTE – HABILITAÇÃO JURÍDICA, FISCAL E TRABALHISTA</w:t>
            </w:r>
          </w:p>
        </w:tc>
      </w:tr>
      <w:tr w:rsidR="003100F2" w:rsidRPr="0014351D" w14:paraId="1DDCBE69" w14:textId="77777777" w:rsidTr="002147E0">
        <w:trPr>
          <w:jc w:val="center"/>
        </w:trPr>
        <w:tc>
          <w:tcPr>
            <w:tcW w:w="467" w:type="dxa"/>
            <w:shd w:val="clear" w:color="auto" w:fill="EDEDED"/>
            <w:vAlign w:val="center"/>
          </w:tcPr>
          <w:p w14:paraId="5B6C7A92" w14:textId="77777777" w:rsidR="003100F2" w:rsidRPr="0014351D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56" w:type="dxa"/>
            <w:shd w:val="clear" w:color="auto" w:fill="EDEDED"/>
            <w:vAlign w:val="center"/>
          </w:tcPr>
          <w:p w14:paraId="6BA70AA1" w14:textId="77777777" w:rsidR="003100F2" w:rsidRPr="0014351D" w:rsidRDefault="003100F2" w:rsidP="00D242F1">
            <w:pPr>
              <w:jc w:val="center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3105" w:type="dxa"/>
            <w:shd w:val="clear" w:color="auto" w:fill="EDEDED"/>
            <w:vAlign w:val="center"/>
          </w:tcPr>
          <w:p w14:paraId="024FA94B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FUNDAMENTO JURÍDICO</w:t>
            </w:r>
          </w:p>
        </w:tc>
        <w:tc>
          <w:tcPr>
            <w:tcW w:w="1022" w:type="dxa"/>
            <w:shd w:val="clear" w:color="auto" w:fill="EDEDED"/>
            <w:vAlign w:val="center"/>
          </w:tcPr>
          <w:p w14:paraId="451E5DD0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ATENDE</w:t>
            </w:r>
          </w:p>
        </w:tc>
        <w:tc>
          <w:tcPr>
            <w:tcW w:w="1017" w:type="dxa"/>
            <w:shd w:val="clear" w:color="auto" w:fill="EDEDED"/>
            <w:vAlign w:val="center"/>
          </w:tcPr>
          <w:p w14:paraId="3901DDEA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ATENDE</w:t>
            </w:r>
          </w:p>
        </w:tc>
        <w:tc>
          <w:tcPr>
            <w:tcW w:w="1190" w:type="dxa"/>
            <w:shd w:val="clear" w:color="auto" w:fill="EDEDED"/>
            <w:vAlign w:val="center"/>
          </w:tcPr>
          <w:p w14:paraId="17AB3353" w14:textId="77777777" w:rsidR="003100F2" w:rsidRPr="0014351D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SE APLICA</w:t>
            </w:r>
          </w:p>
        </w:tc>
      </w:tr>
      <w:tr w:rsidR="003100F2" w:rsidRPr="0014351D" w14:paraId="675C2F4F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38819205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5DCB956B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Mantença das condições de habilitação previstas no instrumento convocatório que deu azo à contratação;</w:t>
            </w:r>
          </w:p>
        </w:tc>
        <w:tc>
          <w:tcPr>
            <w:tcW w:w="3105" w:type="dxa"/>
            <w:vAlign w:val="center"/>
          </w:tcPr>
          <w:p w14:paraId="66300E46" w14:textId="77777777" w:rsidR="003100F2" w:rsidRPr="00934294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934294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91, § 4º, da Lei n° 14.133/2021 e art. 285, II,</w:t>
            </w:r>
            <w:r w:rsidRPr="00934294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934294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CA07C8D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3D7275C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400DAABF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130E6844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568FE64E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9831ACC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Inexistência de qualquer impedimento para licitar e contratar com a Administração Pública Municipal;</w:t>
            </w:r>
          </w:p>
        </w:tc>
        <w:tc>
          <w:tcPr>
            <w:tcW w:w="3105" w:type="dxa"/>
            <w:vAlign w:val="center"/>
          </w:tcPr>
          <w:p w14:paraId="65A7E37E" w14:textId="77777777" w:rsidR="003100F2" w:rsidRPr="00CC4835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</w:pPr>
            <w:bookmarkStart w:id="1" w:name="artigo_285"/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Art. 285</w:t>
            </w:r>
            <w:bookmarkEnd w:id="1"/>
            <w:r w:rsidRPr="00CC4835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, III,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CF3B60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25D393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F32986D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  <w:lang w:val="en-US"/>
              </w:rPr>
            </w:pPr>
          </w:p>
        </w:tc>
      </w:tr>
      <w:tr w:rsidR="003100F2" w:rsidRPr="0014351D" w14:paraId="3DB6A7BF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2AC2A3F0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818009D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Certidões negativas de inidoneidade e de impedimento;</w:t>
            </w:r>
          </w:p>
        </w:tc>
        <w:tc>
          <w:tcPr>
            <w:tcW w:w="3105" w:type="dxa"/>
            <w:vAlign w:val="center"/>
          </w:tcPr>
          <w:p w14:paraId="1BDC3305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da Lei n° 14.133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/2021.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9E1231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02CD7A9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035A63E3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3100F2" w:rsidRPr="0014351D" w14:paraId="358DCD4D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234E31A4" w14:textId="77777777" w:rsidR="003100F2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9D31F99" w14:textId="77777777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I</w:t>
            </w:r>
            <w:r w:rsidRPr="00934294">
              <w:rPr>
                <w:rFonts w:ascii="Century Gothic" w:hAnsi="Century Gothic" w:cs="Courier New"/>
                <w:sz w:val="22"/>
                <w:szCs w:val="22"/>
              </w:rPr>
              <w:t>nscrição no Cadastro de Pessoas Físicas (CPF) ou no Cadastro Nacional da Pessoa Jurídica (CNPJ);</w:t>
            </w:r>
          </w:p>
        </w:tc>
        <w:tc>
          <w:tcPr>
            <w:tcW w:w="3105" w:type="dxa"/>
            <w:vAlign w:val="center"/>
          </w:tcPr>
          <w:p w14:paraId="036FDAD8" w14:textId="1B5A480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68, I, da Lei n° 14.133/2021</w:t>
            </w:r>
            <w:r w:rsidR="002147E0"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2B5506" w14:textId="77777777" w:rsidR="003100F2" w:rsidRPr="00934294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A69CF1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83ADF1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3100F2" w:rsidRPr="0014351D" w14:paraId="6D08CFF5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C09C92F" w14:textId="77777777" w:rsidR="003100F2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E77CB1E" w14:textId="77777777" w:rsidR="003100F2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I</w:t>
            </w:r>
            <w:r w:rsidRPr="00935919">
              <w:rPr>
                <w:rFonts w:ascii="Century Gothic" w:hAnsi="Century Gothic" w:cs="Courier New"/>
                <w:sz w:val="22"/>
                <w:szCs w:val="22"/>
              </w:rPr>
              <w:t>nscrição no cadastro de contribuintes estadual e/ou municipal, se houver, relativo ao domicílio ou sede do licitante, pertinente ao seu ramo de atividade e compatível com o objeto contratual</w:t>
            </w:r>
            <w:r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14B81CD6" w14:textId="2543211E" w:rsidR="003100F2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68, II, da Lei n° 14.133/2021</w:t>
            </w:r>
            <w:r w:rsidR="002147E0"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36F689" w14:textId="77777777" w:rsidR="003100F2" w:rsidRPr="00935919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59CD9D6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D5DA827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3100F2" w:rsidRPr="0014351D" w14:paraId="7644453D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061EEA83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B17447B" w14:textId="222A8AAA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Certidão de regularidade com a Fazenda Federal</w:t>
            </w:r>
            <w:r w:rsidR="002147E0">
              <w:rPr>
                <w:rFonts w:ascii="Century Gothic" w:hAnsi="Century Gothic" w:cs="Courier New"/>
                <w:sz w:val="22"/>
                <w:szCs w:val="22"/>
              </w:rPr>
              <w:t>, do domicílio ou sede do licitante</w:t>
            </w:r>
            <w:r w:rsidR="002147E0" w:rsidRPr="0014351D"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76AB18EB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68, III, e art.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da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Lei n° 14.133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277, IV,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CE7E17D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6C24477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5C94AB7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3100F2" w:rsidRPr="0014351D" w14:paraId="037D709F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3421318B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876690D" w14:textId="0D9E13CC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Certidão de regularidade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 Estadual</w:t>
            </w:r>
            <w:r w:rsidR="002147E0">
              <w:rPr>
                <w:rFonts w:ascii="Century Gothic" w:hAnsi="Century Gothic" w:cs="Courier New"/>
                <w:sz w:val="22"/>
                <w:szCs w:val="22"/>
              </w:rPr>
              <w:t xml:space="preserve">, </w:t>
            </w:r>
            <w:r>
              <w:rPr>
                <w:rFonts w:ascii="Century Gothic" w:hAnsi="Century Gothic" w:cs="Courier New"/>
                <w:sz w:val="22"/>
                <w:szCs w:val="22"/>
              </w:rPr>
              <w:t>do domicílio ou sede do licitante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71A90378" w14:textId="2DFF0611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68, I</w:t>
            </w:r>
            <w:r w:rsidR="002147E0">
              <w:rPr>
                <w:rFonts w:ascii="Century Gothic" w:hAnsi="Century Gothic" w:cs="Courier New"/>
                <w:color w:val="auto"/>
                <w:sz w:val="22"/>
                <w:szCs w:val="22"/>
              </w:rPr>
              <w:t>I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I, e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da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Lei n° 14.133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277, IV,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F6F439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C04229F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5B1079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3100F2" w:rsidRPr="0014351D" w14:paraId="7D7F4350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7E5636C9" w14:textId="77777777" w:rsidR="003100F2" w:rsidRPr="000D185B" w:rsidRDefault="003100F2" w:rsidP="00D242F1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C80B19C" w14:textId="24D8D8B9" w:rsidR="003100F2" w:rsidRPr="0014351D" w:rsidRDefault="003100F2" w:rsidP="00D242F1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Certidão de regularidade com a Fazenda Municipal</w:t>
            </w:r>
            <w:r w:rsidR="002147E0">
              <w:rPr>
                <w:rFonts w:ascii="Century Gothic" w:hAnsi="Century Gothic" w:cs="Courier New"/>
                <w:sz w:val="22"/>
                <w:szCs w:val="22"/>
              </w:rPr>
              <w:t>, do domicílio ou sede do licitante</w:t>
            </w:r>
            <w:r w:rsidR="002147E0" w:rsidRPr="0014351D"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002A796E" w14:textId="77777777" w:rsidR="003100F2" w:rsidRPr="0014351D" w:rsidRDefault="003100F2" w:rsidP="00D242F1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68, III, e 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da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Lei n° 14.133 e Art. 277, IV,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8811692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B4BE64A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9CE617F" w14:textId="77777777" w:rsidR="003100F2" w:rsidRPr="00D52160" w:rsidRDefault="003100F2" w:rsidP="00D242F1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761BE4DB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06B25E1F" w14:textId="41BD2AE1" w:rsidR="002147E0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3D1753A" w14:textId="6C472371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Certificado de regularidade com o FGTS CRF;</w:t>
            </w:r>
          </w:p>
        </w:tc>
        <w:tc>
          <w:tcPr>
            <w:tcW w:w="3105" w:type="dxa"/>
            <w:vAlign w:val="center"/>
          </w:tcPr>
          <w:p w14:paraId="158ADAC2" w14:textId="0027946D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68, IV, e 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da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Lei n° 14.133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277, IV</w:t>
            </w:r>
            <w:r w:rsidRPr="006E05E8">
              <w:rPr>
                <w:rFonts w:ascii="Century Gothic" w:hAnsi="Century Gothic" w:cs="Courier New"/>
                <w:sz w:val="22"/>
                <w:szCs w:val="22"/>
              </w:rPr>
              <w:t>, do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AF71028" w14:textId="0975BC25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333938A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CAFFA23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6405BC86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6464FC6" w14:textId="7FEBDC98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26F0E36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Certidão de regularidade com a Justiça do Trabalho;</w:t>
            </w:r>
          </w:p>
        </w:tc>
        <w:tc>
          <w:tcPr>
            <w:tcW w:w="3105" w:type="dxa"/>
            <w:vAlign w:val="center"/>
          </w:tcPr>
          <w:p w14:paraId="1980F8B3" w14:textId="77777777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68, V, e 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91, 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da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Lei n° 14.133 e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277, IV,</w:t>
            </w:r>
            <w:r w:rsidRPr="00CC4835">
              <w:rPr>
                <w:rFonts w:ascii="Century Gothic" w:hAnsi="Century Gothic" w:cs="Courier New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3D19EA8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C04C47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B3B10F1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677E366D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5DA80209" w14:textId="77777777" w:rsidR="002147E0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162EE50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Declaração de que não emprega menor, salvo na condição de aprendiz;</w:t>
            </w:r>
          </w:p>
        </w:tc>
        <w:tc>
          <w:tcPr>
            <w:tcW w:w="3105" w:type="dxa"/>
            <w:vAlign w:val="center"/>
          </w:tcPr>
          <w:p w14:paraId="1B5D1AC7" w14:textId="120E9F25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68, VI, da Lei n° 14.133/2021 e art. 7º da CF, inciso XXXIII.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DD9021B" w14:textId="77777777" w:rsidR="002147E0" w:rsidRPr="00935919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32C064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B0B9C76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5F76E47C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6FFAF273" w14:textId="77777777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934137A" w14:textId="4F147A08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 xml:space="preserve">Consulta ao 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Cadastro Nacional de Empresas Inidôneas e Suspensas (CEIS)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 e 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Cadastro Nacional de Empresas Punidas (C</w:t>
            </w:r>
            <w:r>
              <w:rPr>
                <w:rFonts w:ascii="Century Gothic" w:hAnsi="Century Gothic" w:cs="Courier New"/>
                <w:sz w:val="22"/>
                <w:szCs w:val="22"/>
              </w:rPr>
              <w:t>NEP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);</w:t>
            </w:r>
          </w:p>
        </w:tc>
        <w:tc>
          <w:tcPr>
            <w:tcW w:w="3105" w:type="dxa"/>
            <w:vAlign w:val="center"/>
          </w:tcPr>
          <w:p w14:paraId="2DDBDFCD" w14:textId="77777777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91, §4º, da Lei n° 14.133/2021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72582F4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51DAF6C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EDF8178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</w:tr>
      <w:tr w:rsidR="002147E0" w:rsidRPr="0014351D" w14:paraId="3DCA2142" w14:textId="77777777" w:rsidTr="002147E0">
        <w:trPr>
          <w:jc w:val="center"/>
        </w:trPr>
        <w:tc>
          <w:tcPr>
            <w:tcW w:w="467" w:type="dxa"/>
            <w:shd w:val="clear" w:color="auto" w:fill="C2EBF0"/>
            <w:vAlign w:val="center"/>
          </w:tcPr>
          <w:p w14:paraId="6F2847AE" w14:textId="77777777" w:rsidR="002147E0" w:rsidRPr="000D185B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90" w:type="dxa"/>
            <w:gridSpan w:val="5"/>
            <w:shd w:val="clear" w:color="auto" w:fill="C2EBF0"/>
            <w:vAlign w:val="center"/>
          </w:tcPr>
          <w:p w14:paraId="7752C7DB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DE RESPONSABILIDADE DA PROCURADORIA DE LICITAÇÕES E CONTRATOS (PLC)</w:t>
            </w:r>
          </w:p>
        </w:tc>
      </w:tr>
      <w:tr w:rsidR="002147E0" w:rsidRPr="0014351D" w14:paraId="79A5FDF0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0E6AAED5" w14:textId="77777777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656" w:type="dxa"/>
            <w:shd w:val="clear" w:color="auto" w:fill="FFFFFF"/>
            <w:vAlign w:val="center"/>
          </w:tcPr>
          <w:p w14:paraId="2DC1CA4B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Elaboração de Parecer acerca da viabilidade jurídica;</w:t>
            </w:r>
          </w:p>
        </w:tc>
        <w:tc>
          <w:tcPr>
            <w:tcW w:w="3105" w:type="dxa"/>
            <w:vAlign w:val="center"/>
          </w:tcPr>
          <w:p w14:paraId="7E7A5976" w14:textId="713E869B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53, </w:t>
            </w:r>
            <w:r w:rsidRPr="00495309">
              <w:rPr>
                <w:rFonts w:ascii="Century Gothic" w:hAnsi="Century Gothic" w:cs="Courier New"/>
                <w:color w:val="auto"/>
                <w:sz w:val="22"/>
                <w:szCs w:val="22"/>
              </w:rPr>
              <w:t>§4º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, da Lei n° 14.133/2021 e a</w:t>
            </w:r>
            <w:r w:rsidRPr="00495309">
              <w:rPr>
                <w:rFonts w:ascii="Century Gothic" w:hAnsi="Century Gothic" w:cs="Courier New"/>
                <w:color w:val="auto"/>
                <w:sz w:val="22"/>
                <w:szCs w:val="22"/>
              </w:rPr>
              <w:t>rt. 6º,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495309">
              <w:rPr>
                <w:rFonts w:ascii="Century Gothic" w:hAnsi="Century Gothic" w:cs="Courier New"/>
                <w:color w:val="auto"/>
                <w:sz w:val="22"/>
                <w:szCs w:val="22"/>
              </w:rPr>
              <w:t>II,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495309">
              <w:rPr>
                <w:rFonts w:ascii="Century Gothic" w:hAnsi="Century Gothic" w:cs="Courier New"/>
                <w:color w:val="auto"/>
                <w:sz w:val="22"/>
                <w:szCs w:val="22"/>
              </w:rPr>
              <w:t>do De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c. Mun. n° 32.398/2024.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C7093E" w14:textId="77777777" w:rsidR="002147E0" w:rsidRPr="004D2D71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CBA4F4A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2809376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</w:p>
        </w:tc>
      </w:tr>
      <w:tr w:rsidR="002147E0" w:rsidRPr="0014351D" w14:paraId="5A82D8BC" w14:textId="77777777" w:rsidTr="002147E0">
        <w:trPr>
          <w:jc w:val="center"/>
        </w:trPr>
        <w:tc>
          <w:tcPr>
            <w:tcW w:w="467" w:type="dxa"/>
            <w:shd w:val="clear" w:color="auto" w:fill="F7CAAC"/>
            <w:vAlign w:val="center"/>
          </w:tcPr>
          <w:p w14:paraId="700BEBDA" w14:textId="77777777" w:rsidR="002147E0" w:rsidRPr="000D185B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90" w:type="dxa"/>
            <w:gridSpan w:val="5"/>
            <w:shd w:val="clear" w:color="auto" w:fill="F7CAAC"/>
            <w:vAlign w:val="center"/>
          </w:tcPr>
          <w:p w14:paraId="1463FA37" w14:textId="77777777" w:rsidR="002147E0" w:rsidRPr="00B424D6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RESPONSABILIDADE DA D</w:t>
            </w:r>
            <w:r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IRETORIA DE LICITAÇÕES E CONTRATOS (DILC)</w:t>
            </w:r>
          </w:p>
        </w:tc>
      </w:tr>
      <w:tr w:rsidR="002147E0" w:rsidRPr="0014351D" w14:paraId="5F986350" w14:textId="77777777" w:rsidTr="002147E0">
        <w:trPr>
          <w:jc w:val="center"/>
        </w:trPr>
        <w:tc>
          <w:tcPr>
            <w:tcW w:w="467" w:type="dxa"/>
            <w:shd w:val="clear" w:color="auto" w:fill="D9D9D9"/>
            <w:vAlign w:val="center"/>
          </w:tcPr>
          <w:p w14:paraId="68C18C72" w14:textId="77777777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56" w:type="dxa"/>
            <w:shd w:val="clear" w:color="auto" w:fill="D9D9D9"/>
            <w:vAlign w:val="center"/>
          </w:tcPr>
          <w:p w14:paraId="6435DDAF" w14:textId="77777777" w:rsidR="002147E0" w:rsidRPr="0014351D" w:rsidRDefault="002147E0" w:rsidP="002147E0">
            <w:pPr>
              <w:jc w:val="center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3105" w:type="dxa"/>
            <w:shd w:val="clear" w:color="auto" w:fill="D9D9D9"/>
            <w:vAlign w:val="center"/>
          </w:tcPr>
          <w:p w14:paraId="01866E7A" w14:textId="77777777" w:rsidR="002147E0" w:rsidRPr="0014351D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</w:rPr>
              <w:t>FUNDAMENTO JURÍDICO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1D48E104" w14:textId="77777777" w:rsidR="002147E0" w:rsidRPr="0014351D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ATENDE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FED0DC1" w14:textId="77777777" w:rsidR="002147E0" w:rsidRPr="0014351D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ATENDE</w:t>
            </w:r>
          </w:p>
        </w:tc>
        <w:tc>
          <w:tcPr>
            <w:tcW w:w="1190" w:type="dxa"/>
            <w:shd w:val="clear" w:color="auto" w:fill="D9D9D9"/>
            <w:vAlign w:val="center"/>
          </w:tcPr>
          <w:p w14:paraId="1435660B" w14:textId="77777777" w:rsidR="002147E0" w:rsidRPr="0014351D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b/>
                <w:bCs/>
                <w:color w:val="auto"/>
                <w:sz w:val="22"/>
                <w:szCs w:val="22"/>
                <w:lang w:val="en-US"/>
              </w:rPr>
              <w:t>NÃO SE APLICA</w:t>
            </w:r>
          </w:p>
        </w:tc>
      </w:tr>
      <w:tr w:rsidR="002147E0" w:rsidRPr="0014351D" w14:paraId="026DD44B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7426D5CE" w14:textId="77777777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0E52AFD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Minuta de Termo Aditivo elaborada de acordo com as minutas padronizadas</w:t>
            </w:r>
            <w:r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42AED5CC" w14:textId="528EE895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280</w:t>
            </w:r>
            <w:r w:rsidR="000927F2"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do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Dec. Mun. n° 32.398/2024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84CBB31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2B61699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E8DD694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9440FF" w14:paraId="250F0516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0573FFA3" w14:textId="56EAB474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3</w:t>
            </w:r>
            <w:r w:rsidR="00800DE6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E22B5E7" w14:textId="25680A28" w:rsidR="002147E0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 xml:space="preserve">Após emissão de parecer jurídico favorável, </w:t>
            </w:r>
            <w:r w:rsidR="000927F2">
              <w:rPr>
                <w:rFonts w:ascii="Century Gothic" w:hAnsi="Century Gothic" w:cs="Courier New"/>
                <w:sz w:val="22"/>
                <w:szCs w:val="22"/>
              </w:rPr>
              <w:t>encaminhar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 o processo para autorização de celebração do aditivo pelo ordenador de despesas, por meio da coleta assinatura das autoridades competentes e do Contratado</w:t>
            </w:r>
            <w:r w:rsidR="000927F2"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24A946C5" w14:textId="77777777" w:rsidR="002147E0" w:rsidRPr="003E7D34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</w:pPr>
            <w:r w:rsidRPr="003E7D34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 xml:space="preserve">Art. 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26 e a</w:t>
            </w:r>
            <w:r w:rsidRPr="003E7D34">
              <w:rPr>
                <w:rFonts w:ascii="Century Gothic" w:hAnsi="Century Gothic" w:cs="Courier New"/>
                <w:color w:val="auto"/>
                <w:sz w:val="22"/>
                <w:szCs w:val="22"/>
                <w:lang w:val="en-US"/>
              </w:rPr>
              <w:t>rt. 282 do Dec. Mun. n° 32.398/2024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0CC3F8" w14:textId="77777777" w:rsidR="002147E0" w:rsidRPr="009440FF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DC6B0C0" w14:textId="77777777" w:rsidR="002147E0" w:rsidRPr="009440FF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0A777D4F" w14:textId="77777777" w:rsidR="002147E0" w:rsidRPr="009440FF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605773B8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4C42D81C" w14:textId="458DD5AA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3</w:t>
            </w:r>
            <w:r w:rsidR="00800DE6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B699013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sz w:val="22"/>
                <w:szCs w:val="22"/>
              </w:rPr>
              <w:t>Divulgação</w:t>
            </w:r>
            <w:r>
              <w:rPr>
                <w:rFonts w:ascii="Century Gothic" w:hAnsi="Century Gothic" w:cs="Courier New"/>
                <w:sz w:val="22"/>
                <w:szCs w:val="22"/>
              </w:rPr>
              <w:t xml:space="preserve">, ao término, </w:t>
            </w:r>
            <w:r w:rsidRPr="0014351D">
              <w:rPr>
                <w:rFonts w:ascii="Century Gothic" w:hAnsi="Century Gothic" w:cs="Courier New"/>
                <w:sz w:val="22"/>
                <w:szCs w:val="22"/>
              </w:rPr>
              <w:t>no Portal Nacional de Compras Públicas (PNCP), como condição de eficácia, em até 20 (vinte) dias úteis para licitações e 10 (dez) dias úteis para contratações diretas</w:t>
            </w:r>
            <w:r>
              <w:rPr>
                <w:rFonts w:ascii="Century Gothic" w:hAnsi="Century Gothic" w:cs="Courier New"/>
                <w:sz w:val="22"/>
                <w:szCs w:val="22"/>
              </w:rPr>
              <w:t>;</w:t>
            </w:r>
          </w:p>
        </w:tc>
        <w:tc>
          <w:tcPr>
            <w:tcW w:w="3105" w:type="dxa"/>
            <w:vAlign w:val="center"/>
          </w:tcPr>
          <w:p w14:paraId="5BC903F0" w14:textId="77777777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Art. 94,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I e II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, </w:t>
            </w:r>
            <w:r w:rsidRPr="0014351D">
              <w:rPr>
                <w:rFonts w:ascii="Century Gothic" w:hAnsi="Century Gothic" w:cs="Courier New"/>
                <w:color w:val="auto"/>
                <w:sz w:val="22"/>
                <w:szCs w:val="22"/>
              </w:rPr>
              <w:t>da Lei n° 14.133/2021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 e art. 5º do Dec. Mun. n° 32.398/2024.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9A902A0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3D6984D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0A9DBC8F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  <w:tr w:rsidR="002147E0" w:rsidRPr="0014351D" w14:paraId="088587E4" w14:textId="77777777" w:rsidTr="002147E0">
        <w:trPr>
          <w:jc w:val="center"/>
        </w:trPr>
        <w:tc>
          <w:tcPr>
            <w:tcW w:w="467" w:type="dxa"/>
            <w:shd w:val="clear" w:color="auto" w:fill="F3F3F3"/>
            <w:vAlign w:val="center"/>
          </w:tcPr>
          <w:p w14:paraId="15FF3569" w14:textId="6386BFB4" w:rsidR="002147E0" w:rsidRPr="000D185B" w:rsidRDefault="002147E0" w:rsidP="002147E0">
            <w:pPr>
              <w:jc w:val="center"/>
              <w:rPr>
                <w:rFonts w:ascii="Century Gothic" w:hAnsi="Century Gothic" w:cs="Courier New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3</w:t>
            </w:r>
            <w:r w:rsidR="00800DE6">
              <w:rPr>
                <w:rFonts w:ascii="Century Gothic" w:hAnsi="Century Gothic" w:cs="Courier Ne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AB0AF45" w14:textId="77777777" w:rsidR="002147E0" w:rsidRPr="0014351D" w:rsidRDefault="002147E0" w:rsidP="002147E0">
            <w:pPr>
              <w:jc w:val="both"/>
              <w:rPr>
                <w:rFonts w:ascii="Century Gothic" w:hAnsi="Century Gothic" w:cs="Courier New"/>
                <w:sz w:val="22"/>
                <w:szCs w:val="22"/>
              </w:rPr>
            </w:pPr>
            <w:r>
              <w:rPr>
                <w:rFonts w:ascii="Century Gothic" w:hAnsi="Century Gothic" w:cs="Courier New"/>
                <w:sz w:val="22"/>
                <w:szCs w:val="22"/>
              </w:rPr>
              <w:t>Juntada do aditivo ao processo que deu origem à contratação, divulgados e mantidos à disposição do público em sítio eletrônico oficial.</w:t>
            </w:r>
          </w:p>
        </w:tc>
        <w:tc>
          <w:tcPr>
            <w:tcW w:w="3105" w:type="dxa"/>
            <w:vAlign w:val="center"/>
          </w:tcPr>
          <w:p w14:paraId="6740D7C2" w14:textId="70F03E03" w:rsidR="002147E0" w:rsidRPr="0014351D" w:rsidRDefault="002147E0" w:rsidP="002147E0">
            <w:pPr>
              <w:pStyle w:val="Default"/>
              <w:spacing w:line="276" w:lineRule="auto"/>
              <w:jc w:val="both"/>
              <w:rPr>
                <w:rFonts w:ascii="Century Gothic" w:hAnsi="Century Gothic" w:cs="Courier New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 xml:space="preserve">Art. 91, </w:t>
            </w:r>
            <w:r w:rsidR="000927F2">
              <w:rPr>
                <w:rFonts w:ascii="Century Gothic" w:hAnsi="Century Gothic" w:cs="Courier New"/>
                <w:i/>
                <w:iCs/>
                <w:color w:val="auto"/>
                <w:sz w:val="22"/>
                <w:szCs w:val="22"/>
              </w:rPr>
              <w:t>caput</w:t>
            </w:r>
            <w:r>
              <w:rPr>
                <w:rFonts w:ascii="Century Gothic" w:hAnsi="Century Gothic" w:cs="Courier New"/>
                <w:color w:val="auto"/>
                <w:sz w:val="22"/>
                <w:szCs w:val="22"/>
              </w:rPr>
              <w:t>, da Lei n° 14.133/2021 e art. 5º do Dec. Mun. n° 32.398/2024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A22AAF" w14:textId="77777777" w:rsidR="002147E0" w:rsidRPr="008D50E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</w:rPr>
            </w:pPr>
            <w:r w:rsidRPr="00D52160">
              <w:rPr>
                <w:rFonts w:ascii="Century Gothic" w:hAnsi="Century Gothic" w:cs="Courier New"/>
                <w:b/>
                <w:bCs/>
                <w:color w:val="auto"/>
                <w:sz w:val="28"/>
                <w:szCs w:val="28"/>
                <w:lang w:val="en-US"/>
              </w:rPr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4C430F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5B554DE" w14:textId="77777777" w:rsidR="002147E0" w:rsidRPr="00D52160" w:rsidRDefault="002147E0" w:rsidP="002147E0">
            <w:pPr>
              <w:pStyle w:val="Default"/>
              <w:spacing w:line="276" w:lineRule="auto"/>
              <w:jc w:val="center"/>
              <w:rPr>
                <w:rFonts w:ascii="Century Gothic" w:hAnsi="Century Gothic" w:cs="Courier New"/>
                <w:color w:val="auto"/>
                <w:sz w:val="28"/>
                <w:szCs w:val="28"/>
              </w:rPr>
            </w:pPr>
          </w:p>
        </w:tc>
      </w:tr>
    </w:tbl>
    <w:p w14:paraId="05BAF4FF" w14:textId="77777777" w:rsidR="003100F2" w:rsidRPr="001169E7" w:rsidRDefault="003100F2" w:rsidP="003100F2">
      <w:pPr>
        <w:spacing w:line="276" w:lineRule="auto"/>
        <w:ind w:firstLine="709"/>
        <w:jc w:val="both"/>
        <w:rPr>
          <w:sz w:val="24"/>
          <w:szCs w:val="24"/>
        </w:rPr>
      </w:pPr>
    </w:p>
    <w:p w14:paraId="6DDBA5D1" w14:textId="77777777" w:rsidR="00252CCA" w:rsidRDefault="00252CCA"/>
    <w:sectPr w:rsidR="00252CCA" w:rsidSect="00F03963">
      <w:footerReference w:type="even" r:id="rId6"/>
      <w:pgSz w:w="11907" w:h="16840" w:code="9"/>
      <w:pgMar w:top="375" w:right="720" w:bottom="720" w:left="720" w:header="284" w:footer="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5407" w14:textId="77777777" w:rsidR="004E659E" w:rsidRDefault="004E659E">
      <w:r>
        <w:separator/>
      </w:r>
    </w:p>
  </w:endnote>
  <w:endnote w:type="continuationSeparator" w:id="0">
    <w:p w14:paraId="42EFE969" w14:textId="77777777" w:rsidR="004E659E" w:rsidRDefault="004E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92D5" w14:textId="77777777" w:rsidR="007E4DCF" w:rsidRDefault="003100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EED810" w14:textId="77777777" w:rsidR="007E4DCF" w:rsidRDefault="004E65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97A1" w14:textId="77777777" w:rsidR="004E659E" w:rsidRDefault="004E659E">
      <w:r>
        <w:separator/>
      </w:r>
    </w:p>
  </w:footnote>
  <w:footnote w:type="continuationSeparator" w:id="0">
    <w:p w14:paraId="233B4065" w14:textId="77777777" w:rsidR="004E659E" w:rsidRDefault="004E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F2"/>
    <w:rsid w:val="000927F2"/>
    <w:rsid w:val="001D7BDE"/>
    <w:rsid w:val="001E4C13"/>
    <w:rsid w:val="001F692F"/>
    <w:rsid w:val="002147E0"/>
    <w:rsid w:val="00252CCA"/>
    <w:rsid w:val="003100F2"/>
    <w:rsid w:val="004E659E"/>
    <w:rsid w:val="00616A51"/>
    <w:rsid w:val="007266F7"/>
    <w:rsid w:val="00734B04"/>
    <w:rsid w:val="00800DE6"/>
    <w:rsid w:val="008A435D"/>
    <w:rsid w:val="009466C4"/>
    <w:rsid w:val="00982888"/>
    <w:rsid w:val="00994FF4"/>
    <w:rsid w:val="00A95EED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0F3F"/>
  <w15:chartTrackingRefBased/>
  <w15:docId w15:val="{8518C769-D56A-494F-8206-09024AD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100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00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100F2"/>
  </w:style>
  <w:style w:type="paragraph" w:customStyle="1" w:styleId="Default">
    <w:name w:val="Default"/>
    <w:rsid w:val="003100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1495</Words>
  <Characters>8078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Sthephanie Schulz</dc:creator>
  <cp:keywords/>
  <dc:description/>
  <cp:lastModifiedBy>Sthephanie Schulz</cp:lastModifiedBy>
  <cp:revision>12</cp:revision>
  <dcterms:created xsi:type="dcterms:W3CDTF">2024-10-29T10:16:00Z</dcterms:created>
  <dcterms:modified xsi:type="dcterms:W3CDTF">2024-12-27T18:24:00Z</dcterms:modified>
</cp:coreProperties>
</file>